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ES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ANEXO 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«ANEXO 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INSTRUCCIONES PARA LA COMUNICACIÓN DE INFORMACIÓN SOBRE LOS FONDOS PROPIOS Y LOS REQUISITOS DE FONDOS PROPIOS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PARTE II: INSTRUCCIONES RELATIVAS A LAS PLANTILLAS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3.5a. C 10.00 – Riesgo de crédito y de contraparte y operaciones incompletas: Exposiciones según el método IRB sujetas al suelo de los activos ponderados por riesgo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3.5a.1. </w:t>
      </w:r>
      <w:r>
        <w:rPr>
          <w:rFonts w:ascii="Times New Roman" w:hAnsi="Times New Roman"/>
          <w:sz w:val="24"/>
        </w:rPr>
        <w:t>Observaciones generales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91b. Las entidades que apliquen el método IRB comunicarán en C 10.00 las exposiciones según dicho método desglosadas por categorías de exposición estándar e información sobre el cálculo del importe total de la exposición al riesgo estándar correspondiente a dichas exposiciones. En las columnas 0100-0120 se recopila información sobre los efectos de las disposiciones transitorias relativas al suelo de los activos ponderados por riesgo respecto de tales exposiciones.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91c. Las entidades que apliquen el método de los modelos internos (MMI) establecido en el capítulo 6, sección 6, del Reglamento (UE) n.º 575/2013 para calcular los importes de exposición de las exposiciones estándar cumplimentarán la fila 0270 de esta plantilla.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3.5a.2. </w:t>
      </w:r>
      <w:r>
        <w:rPr>
          <w:rFonts w:ascii="Times New Roman" w:hAnsi="Times New Roman"/>
          <w:sz w:val="24"/>
        </w:rPr>
        <w:t>Instrucciones relativas a posiciones concretas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Columnas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EXPOSICIÓN ORIGINAL ANTES DE APLICAR LOS FACTORES DE CONVERSIÓN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Véanse las instrucciones de la plantilla C 07.00, columna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AJUSTES DE VALOR Y PROVISIONES ASOCIADOS A LA EXPOSICIÓN ORIGINAL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Véanse las instrucciones de la plantilla C 07.00, columna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EXPOSICIÓN NETA DE AJUSTES DE VALOR Y PROVISIONES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Suma de las columnas 0010 y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VALOR DE EXPOSICIÓN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t>Véanse las instrucciones de la plantilla C 07.00, columna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DEL CUAL: RESULTANTE DEL RIESGO DE CONTRAPARTE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Véanse las instrucciones de la plantilla C 07.00, columna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SUELO DE LOS ACTIVOS PONDERADOS POR RIESGO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Artículo 92, apartado 3, y artículo 92, apartado 5, del Reglamento (UE) n.º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Importe total de exposición al riesgo estándar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El importe total de exposición al riesgo estándar (S-TREA) calculado de conformidad con el artículo 92, apartado 5, del Reglamento (UE) n.º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DEL CUAL: RESULTANTE DEL RIESGO DE CONTRAPARTE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El importe total de exposición al riesgo estándar (S-TREA) respecto del riesgo de crédito de contraparte calculado de conformidad con los métodos establecidos en la parte tercera, título II, capítulo 6, del Reglamento (UE) n.º 575/2013.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 LAS CUALES:  CON EVALUACIÓN CREDITICIA EFECTUADA POR UNA ECAI DESIGNADA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Artículo 112, letras a) a d), f), g), l), n), o) y q), del Reglamento (UE) n.º 575/2013.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PRO MEMORIA: IMPORTES PONDERADOS POR RIESGO DE LAS EXPOSICIONES (RWEA) ASOCIADOS A LOS EFECTOS DE LA APLICACIÓN DE DETERMINADAS DISPOSICIONES TRANSITORIAS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Artículo 92, apartado 3, y artículo 465 del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Reglamento (UE) n.º 575/2013. Se comunicará la diferencia entre el importe ponderado por riesgo de las exposiciones (RWEA) sin aplicar las disposiciones transitorias y el mismo importe aplicando las disposiciones transitorias.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GARANTIZADAS POR HIPOTECAS SOBRE BIENES INMUEBLES RESIDENCIALES DE HASTA EL 55 % DEL VALOR DE LOS BIENES INMUEBLES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Artículo 465, apartado 5, letra a),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del </w:t>
            </w:r>
            <w:r>
              <w:rPr>
                <w:rFonts w:ascii="Times New Roman" w:hAnsi="Times New Roman"/>
                <w:sz w:val="24"/>
              </w:rPr>
              <w:t>Reglamento (UE) n.º 575/2013.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GARANTIZADAS POR HIPOTECAS SOBRE BIENES INMUEBLES RESIDENCIALES DE ENTRE EL 55 % Y EL 80 % DEL VALOR DE LOS BIENES INMUEBLES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Artículo 465, apartado 5, letra b), del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Reglamento (UE) n.º 575/2013.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FRENTE A EMPRESAS SIN CALIFICACIÓN CON UNA PD ESTIMADA</w:t>
            </w:r>
          </w:p>
          <w:p w14:paraId="43AA2D10" w14:textId="01A0BE0D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Artículo 465, apartado 3, </w:t>
            </w:r>
            <w:r w:rsidR="00357AC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del</w:t>
            </w:r>
            <w:r w:rsidR="00357ACD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357ACD">
              <w:rPr>
                <w:rFonts w:ascii="Times New Roman" w:hAnsi="Times New Roman"/>
                <w:sz w:val="24"/>
              </w:rPr>
              <w:t>Reglamento</w:t>
            </w:r>
            <w:r>
              <w:rPr>
                <w:rFonts w:ascii="Times New Roman" w:hAnsi="Times New Roman"/>
                <w:sz w:val="24"/>
              </w:rPr>
              <w:t xml:space="preserve"> (UE) n.º 575/2013.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SEGÚN EL MÉTODO IRB SUJETAS AL RIESGO DE CRÉDITO DE CONTRAPARTE CON ARREGLO AL MMI</w:t>
            </w:r>
          </w:p>
          <w:p w14:paraId="44DDA90D" w14:textId="16051EF1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Artículo 465, apartado 4, </w:t>
            </w:r>
            <w:r w:rsidR="00357AC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del</w:t>
            </w:r>
            <w:r w:rsidR="00357ACD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357ACD">
              <w:rPr>
                <w:rFonts w:ascii="Times New Roman" w:hAnsi="Times New Roman"/>
                <w:sz w:val="24"/>
              </w:rPr>
              <w:t>Reglamento</w:t>
            </w:r>
            <w:r>
              <w:rPr>
                <w:rFonts w:ascii="Times New Roman" w:hAnsi="Times New Roman"/>
                <w:sz w:val="24"/>
              </w:rPr>
              <w:t xml:space="preserve"> (UE) n.º 575/2013.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Filas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DE EXPOSICIONES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Artículo 92, apartado 3, y artículos 95, 96 y 98 del Reglamento (UE) n.º 575/2013.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Del cual: requisitos prudenciales adicionales más rigurosos con arreglo al artículo 124 del Reglamento (UE) n.º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indicarán los importes adicionales que resultan necesarios frente a la exposición al riesgo para satisfacer los requisitos prudenciales más rigurosos que les hayan sido comunicados previa consulta con la ABE, de conformidad con el artículo 124, apartados 2 y 5, del Reglamento (UE) n.º 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Categorías de exposición del método estándar, excluidas las posiciones de titulización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Plantilla CR SA con respecto a la totalidad de exposiciones. Las categorías de exposición del método estándar son las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mencionadas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en el artículo 112 </w:t>
            </w:r>
            <w:r>
              <w:rPr>
                <w:rFonts w:ascii="Times New Roman" w:hAnsi="Times New Roman"/>
                <w:sz w:val="24"/>
              </w:rPr>
              <w:t>del Reglamento (UE) n.º 575/2013,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 con exclusión de las posiciones de titulización.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Administraciones centrales o bancos centrales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Administraciones regionales o autoridades locales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Entes del sector público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Bancos multilaterales de desarrollo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Organizaciones internacionales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Entidades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- otros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De las cuales: Exposiciones frente a empresas sin calificación con una PD estimada</w:t>
            </w:r>
          </w:p>
          <w:p w14:paraId="3C17B48F" w14:textId="30022B33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Artículo 465, apartado 3, </w:t>
            </w:r>
            <w:r w:rsidR="00357AC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del</w:t>
            </w:r>
            <w:r w:rsidR="00357ACD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357ACD">
              <w:rPr>
                <w:rFonts w:ascii="Times New Roman" w:hAnsi="Times New Roman"/>
                <w:sz w:val="24"/>
              </w:rPr>
              <w:t>Reglamento</w:t>
            </w:r>
            <w:r>
              <w:rPr>
                <w:rFonts w:ascii="Times New Roman" w:hAnsi="Times New Roman"/>
                <w:sz w:val="24"/>
              </w:rPr>
              <w:t xml:space="preserve"> (UE) n.º 575/2013.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De las cuales: Derechos de cobro adquiridos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Exposiciones asignadas, con arreglo al método IRB, a la categoría de exposición “Derechos de cobro adquiridos” en virtud del artículo 147, apartado 2, letra c), inciso iii),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 Reglamento (UE) n.º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- financiación especializada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minoristas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De las cuales: Renovables admisibles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Exposiciones asignadas, con arreglo al método IRB, a la categoría de exposición “Derechos de cobro adquiridos” en virtud del artículo 147, apartado 2, letra d), inciso i),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 Reglamento (UE) n.º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Derechos de cobro adquiridos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Exposiciones asignadas, con arreglo al método IRB, a la categoría de exposición “Derechos de cobro adquiridos” en virtud del artículo 147, apartado 2, letra d), inciso iii),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 Reglamento (UE) n.º 575/2013.</w:t>
            </w:r>
          </w:p>
        </w:tc>
      </w:tr>
      <w:tr w:rsidR="009658DD" w:rsidRPr="00357ACD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Garantizadas con hipotecas sobre bienes inmuebles y exposiciones AUE </w:t>
            </w:r>
          </w:p>
          <w:p w14:paraId="6A976302" w14:textId="77777777" w:rsidR="009658DD" w:rsidRPr="00357AC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Exposiciones garantizadas por hipotecas sobre bienes inmuebles residenciales de hasta el 55 % del valor de los bienes inmuebles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Artículo 465, apartado 5, letra a),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del </w:t>
            </w:r>
            <w:r>
              <w:rPr>
                <w:rFonts w:ascii="Times New Roman" w:hAnsi="Times New Roman"/>
                <w:sz w:val="24"/>
              </w:rPr>
              <w:t>Reglamento (UE) n.º 575/2013.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De las cuales: Exposiciones garantizadas por hipotecas sobre bienes inmuebles residenciales de entre el 55 % y el 80 % del valor de los bienes inmuebles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Artículo 465, apartado 5, letra b),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del</w:t>
            </w:r>
            <w:r>
              <w:rPr>
                <w:rFonts w:ascii="Times New Roman" w:hAnsi="Times New Roman"/>
                <w:sz w:val="24"/>
              </w:rPr>
              <w:t xml:space="preserve"> Reglamento (UE) n.º 575/2013.</w:t>
            </w:r>
          </w:p>
        </w:tc>
      </w:tr>
      <w:tr w:rsidR="001E0830" w:rsidRPr="00357ACD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residenciales - no BIGR (con garantía)</w:t>
            </w:r>
          </w:p>
          <w:p w14:paraId="1336D8BC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residenciales - no BIGR (sin garantía)</w:t>
            </w:r>
          </w:p>
          <w:p w14:paraId="10BC6690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 Garantizadas con hipotecas sobre bienes inmuebles residenciales - otras - no BIGR</w:t>
            </w:r>
          </w:p>
          <w:p w14:paraId="6EFCB6F5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 Garantizadas con hipotecas sobre bienes inmuebles residenciales - BIGR</w:t>
            </w:r>
          </w:p>
          <w:p w14:paraId="42EC2934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comerciales - otras - BIGR</w:t>
            </w:r>
          </w:p>
          <w:p w14:paraId="0DC38004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comerciales - no BIGR (con garantía)</w:t>
            </w:r>
          </w:p>
          <w:p w14:paraId="16490978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  <w:lang w:val="fr-BE"/>
              </w:rPr>
              <w:t>Véase la plantilla CR SA</w:t>
            </w:r>
          </w:p>
        </w:tc>
      </w:tr>
      <w:tr w:rsidR="001E0830" w:rsidRPr="00357ACD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comerciales - no BIGR (sin garantía)</w:t>
            </w:r>
          </w:p>
          <w:p w14:paraId="5F988EFF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comerciales - otras - no BIGR</w:t>
            </w:r>
          </w:p>
          <w:p w14:paraId="23004142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comerciales - BIGR</w:t>
            </w:r>
          </w:p>
          <w:p w14:paraId="4BEE5500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Garantizadas con hipotecas sobre bienes inmuebles comerciales - otras - BIGR</w:t>
            </w:r>
          </w:p>
          <w:p w14:paraId="4636ED44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1E0830" w:rsidRPr="00357ACD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Adquisición, urbanización y edificación (AUE)</w:t>
            </w:r>
          </w:p>
          <w:p w14:paraId="6F33B2A8" w14:textId="77777777" w:rsidR="001E0830" w:rsidRPr="00357AC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 las cuales: Categorizadas como garantizadas por bienes inmuebles residenciales en el ámbito del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Exposiciones asignadas, con arreglo al método IRB, a la categoría de exposición “Derechos de cobro adquiridos” en virtud del artículo 147, apartado 2, letra d), inciso ii),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 Reglamento (UE) n.º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Exposiciones en situación de impago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de deuda subordinada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Bonos garantizados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357ACD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Exposiciones frente a entidades y empresas con evaluación crediticia a corto plazo </w:t>
            </w:r>
          </w:p>
          <w:p w14:paraId="5CCE01A3" w14:textId="77777777" w:rsidR="009658DD" w:rsidRPr="00357AC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9658DD" w:rsidRPr="00357ACD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Organismos de inversión colectiva (OIC)</w:t>
            </w:r>
          </w:p>
          <w:p w14:paraId="0AFC1081" w14:textId="77777777" w:rsidR="009658DD" w:rsidRPr="00357AC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</w:pPr>
            <w:r w:rsidRPr="00357ACD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Véase la plantilla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de renta variable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Otras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Véase la plantilla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</w:t>
            </w:r>
            <w:r>
              <w:rPr>
                <w:rStyle w:val="InstructionsTabelleberschrift"/>
              </w:rPr>
              <w:t>RO MEMORIA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-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Exposiciones frente a empresas tratadas con arreglo al método IRB básico.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-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Exposiciones frente a empresas tratadas con arreglo al método IRB avanzado.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según el método estándar sujetas al riesgo de crédito de contraparte con arreglo al MMI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Artículo 465, apartado 4, del </w:t>
            </w:r>
            <w:r>
              <w:rPr>
                <w:rFonts w:ascii="Times New Roman" w:hAnsi="Times New Roman"/>
                <w:sz w:val="24"/>
              </w:rPr>
              <w:t>Reglamento (UE) n.º 575/2013.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so habitual de la 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so habitual de la A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so habitual de la 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so habitual de la A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so habitual de la 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so habitual de la A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357ACD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26765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A3CB9-80B3-4FD6-AC8F-1BF5941F864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1413</Words>
  <Characters>7763</Characters>
  <Application>Microsoft Office Word</Application>
  <DocSecurity>0</DocSecurity>
  <Lines>287</Lines>
  <Paragraphs>269</Paragraphs>
  <ScaleCrop>false</ScaleCrop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2025-01-24T11:35:12Z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a5a60ff4-dc51-4f00-9fd5-da67085a92ae</vt:lpwstr>
  </property>
  <property fmtid="{D5CDD505-2E9C-101B-9397-08002B2CF9AE}" pid="9" name="MSIP_Label_6bd9ddd1-4d20-43f6-abfa-fc3c07406f94_ContentBits">
    <vt:lpwstr>0</vt:lpwstr>
  </property>
</Properties>
</file>